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75" w:rsidRPr="00B27164" w:rsidRDefault="00C90B75" w:rsidP="00C90B75">
      <w:pPr>
        <w:shd w:val="clear" w:color="auto" w:fill="FFFFFF"/>
        <w:spacing w:after="47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IN" w:bidi="hi-IN"/>
        </w:rPr>
      </w:pPr>
      <w:r w:rsidRPr="00B27164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IN" w:bidi="hi-IN"/>
        </w:rPr>
        <w:t>Chapter 23</w:t>
      </w:r>
    </w:p>
    <w:p w:rsidR="00C90B75" w:rsidRDefault="00C90B75" w:rsidP="00C90B7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IN" w:bidi="hi-IN"/>
        </w:rPr>
        <w:t>How to Apply</w:t>
      </w:r>
    </w:p>
    <w:p w:rsidR="00B27164" w:rsidRPr="00B27164" w:rsidRDefault="00B27164" w:rsidP="00C90B7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2060"/>
          <w:sz w:val="20"/>
          <w:szCs w:val="20"/>
          <w:lang w:eastAsia="en-IN" w:bidi="hi-IN"/>
        </w:rPr>
      </w:pPr>
    </w:p>
    <w:p w:rsidR="00C90B75" w:rsidRDefault="00C90B75" w:rsidP="00C90B75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“RTI- HOW TO APPLY FOR INFORMATION UNDER RTI ACT, 2005”</w:t>
      </w:r>
    </w:p>
    <w:p w:rsidR="00B27164" w:rsidRPr="00B27164" w:rsidRDefault="00B27164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C90B75" w:rsidRP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 w:bidi="hi-IN"/>
        </w:rPr>
        <w:t>1. Introduction</w:t>
      </w:r>
    </w:p>
    <w:p w:rsidR="00C90B75" w:rsidRP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Any citizen of India who desires to obtain any information under the Right to Information Act, 2005 may make a request to the Central Public Information Officer, preferably in the application format, in writing or through electronic means.</w:t>
      </w:r>
    </w:p>
    <w:p w:rsidR="00C90B75" w:rsidRP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 w:bidi="hi-IN"/>
        </w:rPr>
        <w:t>2. Application Fee</w:t>
      </w:r>
    </w:p>
    <w:p w:rsid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The application for obtaining information under sub-section (1) of section 6 of RTI Act, 2005, must be accompanied by prescribed application fee drawn</w:t>
      </w:r>
      <w:r w:rsid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 in favour of Principal, Institute of Hotel Management, Pusa, New Delhi</w:t>
      </w: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 payable at the local office where the application has been submitted. </w:t>
      </w:r>
    </w:p>
    <w:p w:rsidR="00C90B75" w:rsidRP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At present the application fee, which is subject to change from time to time, is as under:-</w:t>
      </w:r>
    </w:p>
    <w:p w:rsidR="00C90B75" w:rsidRP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Application fee   :   Rs. 10/- (Rupees ten only)</w:t>
      </w:r>
    </w:p>
    <w:p w:rsidR="00C90B75" w:rsidRP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Mode of payment   :   By cash against proper receipt or by demand draft/banker’s cheque/Indian    Postal Order drawn in favour of </w:t>
      </w:r>
      <w:r w:rsid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Principal, Institute of Hotel Management, Pusa, New Delhi</w:t>
      </w: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, payable at local office where the application is submitted.</w:t>
      </w:r>
    </w:p>
    <w:p w:rsidR="00C90B75" w:rsidRP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Persons who belong to BPL category are not required to pay the application fee provided necessary documents in support are produced.</w:t>
      </w:r>
    </w:p>
    <w:p w:rsidR="00C90B75" w:rsidRP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 w:bidi="hi-IN"/>
        </w:rPr>
        <w:t>3. Additional Fee</w:t>
      </w:r>
    </w:p>
    <w:p w:rsidR="00C90B75" w:rsidRP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In case it is decided to provide the information, the applicant shall be informed of the additional fees required to be deposited by him/her for the information sought and information shall be furnished after the deposit of the fee by the Requester, as per the Act.</w:t>
      </w:r>
    </w:p>
    <w:p w:rsidR="00C90B75" w:rsidRP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In accordance to directives given in the above mentioned Gazette notification dated 16/09/2005, for providing the information under sub-section (1) of Section 7, an additional fee shall be charged. At present, the applicable rates, which are subject to change from time to time, are given as under:-</w:t>
      </w:r>
    </w:p>
    <w:p w:rsidR="00C90B75" w:rsidRP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 </w:t>
      </w:r>
    </w:p>
    <w:tbl>
      <w:tblPr>
        <w:tblW w:w="8301" w:type="dxa"/>
        <w:tblCellSpacing w:w="0" w:type="dxa"/>
        <w:tblBorders>
          <w:left w:val="single" w:sz="4" w:space="0" w:color="DCDCDC"/>
          <w:bottom w:val="single" w:sz="4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3921"/>
        <w:gridCol w:w="3987"/>
      </w:tblGrid>
      <w:tr w:rsidR="00C90B75" w:rsidRPr="00B27164" w:rsidTr="00C90B75">
        <w:trPr>
          <w:tblCellSpacing w:w="0" w:type="dxa"/>
        </w:trPr>
        <w:tc>
          <w:tcPr>
            <w:tcW w:w="348" w:type="dxa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a.</w:t>
            </w:r>
          </w:p>
        </w:tc>
        <w:tc>
          <w:tcPr>
            <w:tcW w:w="3972" w:type="dxa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For each page (in A-4 or A-3 size paper) created or</w:t>
            </w:r>
            <w:r w:rsidR="00B27164"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copied</w:t>
            </w: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3972" w:type="dxa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Rs. 2/- per page</w:t>
            </w:r>
          </w:p>
        </w:tc>
      </w:tr>
      <w:tr w:rsidR="00C90B75" w:rsidRPr="00B27164" w:rsidTr="00C90B7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b. </w:t>
            </w:r>
          </w:p>
        </w:tc>
        <w:tc>
          <w:tcPr>
            <w:tcW w:w="0" w:type="auto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For a copy in larger size paper</w:t>
            </w:r>
          </w:p>
        </w:tc>
        <w:tc>
          <w:tcPr>
            <w:tcW w:w="0" w:type="auto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Actual charge or cost price</w:t>
            </w:r>
          </w:p>
        </w:tc>
      </w:tr>
      <w:tr w:rsidR="00C90B75" w:rsidRPr="00B27164" w:rsidTr="00C90B7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c.</w:t>
            </w:r>
          </w:p>
        </w:tc>
        <w:tc>
          <w:tcPr>
            <w:tcW w:w="0" w:type="auto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For samples or models</w:t>
            </w:r>
          </w:p>
        </w:tc>
        <w:tc>
          <w:tcPr>
            <w:tcW w:w="0" w:type="auto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Actual cost or price</w:t>
            </w:r>
          </w:p>
        </w:tc>
      </w:tr>
      <w:tr w:rsidR="00C90B75" w:rsidRPr="00B27164" w:rsidTr="00C90B7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d.</w:t>
            </w:r>
          </w:p>
        </w:tc>
        <w:tc>
          <w:tcPr>
            <w:tcW w:w="0" w:type="auto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For inspection of records</w:t>
            </w:r>
          </w:p>
        </w:tc>
        <w:tc>
          <w:tcPr>
            <w:tcW w:w="0" w:type="auto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No fee for the first hour; Rs. 5/hr. thereafter</w:t>
            </w:r>
          </w:p>
        </w:tc>
      </w:tr>
    </w:tbl>
    <w:p w:rsidR="00B27164" w:rsidRDefault="00B27164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C90B75" w:rsidRP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Further, for providing the information under sub-section (5) of Section 7, the fee shall be charged at the following rates:-</w:t>
      </w:r>
    </w:p>
    <w:p w:rsidR="00C90B75" w:rsidRP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 </w:t>
      </w:r>
    </w:p>
    <w:tbl>
      <w:tblPr>
        <w:tblW w:w="8301" w:type="dxa"/>
        <w:tblCellSpacing w:w="0" w:type="dxa"/>
        <w:tblBorders>
          <w:left w:val="single" w:sz="4" w:space="0" w:color="DCDCDC"/>
          <w:bottom w:val="single" w:sz="4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337"/>
        <w:gridCol w:w="2632"/>
        <w:gridCol w:w="5332"/>
      </w:tblGrid>
      <w:tr w:rsidR="00C90B75" w:rsidRPr="00B27164" w:rsidTr="00C90B75">
        <w:trPr>
          <w:tblCellSpacing w:w="0" w:type="dxa"/>
        </w:trPr>
        <w:tc>
          <w:tcPr>
            <w:tcW w:w="311" w:type="dxa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a.</w:t>
            </w:r>
          </w:p>
        </w:tc>
        <w:tc>
          <w:tcPr>
            <w:tcW w:w="3991" w:type="dxa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For information provided in diskette of floppy</w:t>
            </w:r>
          </w:p>
        </w:tc>
        <w:tc>
          <w:tcPr>
            <w:tcW w:w="3991" w:type="dxa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Rs. 50/- (Rupees fifty only) per diskette or floppy</w:t>
            </w:r>
          </w:p>
        </w:tc>
      </w:tr>
      <w:tr w:rsidR="00C90B75" w:rsidRPr="00B27164" w:rsidTr="00C90B7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b.</w:t>
            </w:r>
          </w:p>
        </w:tc>
        <w:tc>
          <w:tcPr>
            <w:tcW w:w="0" w:type="auto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For information provided in printed form</w:t>
            </w:r>
          </w:p>
        </w:tc>
        <w:tc>
          <w:tcPr>
            <w:tcW w:w="0" w:type="auto"/>
            <w:tcBorders>
              <w:top w:val="single" w:sz="4" w:space="0" w:color="DDDDDD"/>
              <w:right w:val="single" w:sz="4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B75" w:rsidRPr="00B27164" w:rsidRDefault="00C90B75" w:rsidP="00B27164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2716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At the price fixed for such publication or Rs. 2/- per page of photocopy for extracts from the publication</w:t>
            </w:r>
          </w:p>
        </w:tc>
      </w:tr>
    </w:tbl>
    <w:p w:rsidR="00C90B75" w:rsidRP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The mode of payment of above mentioned additional fees shall be the same as application fee.</w:t>
      </w:r>
    </w:p>
    <w:p w:rsidR="00C90B75" w:rsidRP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 w:bidi="hi-IN"/>
        </w:rPr>
        <w:t>4. Appeal</w:t>
      </w:r>
    </w:p>
    <w:p w:rsidR="00C90B75" w:rsidRPr="00B27164" w:rsidRDefault="00C90B75" w:rsidP="00B27164">
      <w:pPr>
        <w:shd w:val="clear" w:color="auto" w:fill="FFFFFF"/>
        <w:spacing w:after="47" w:line="179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In case the applicant does not receive a decision within the time specified in sub-section (1) or clause (a) of sub-section</w:t>
      </w:r>
      <w:r w:rsid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 xml:space="preserve"> </w:t>
      </w:r>
      <w:r w:rsidRPr="00B27164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(3) of section 7, or is aggrieved by a decision of the PIO, as the case may be, may within thirty days from the expiry of such period from the receipt of such a decision, prefer an appeal to the Appellate Authority.</w:t>
      </w:r>
    </w:p>
    <w:p w:rsidR="0020502F" w:rsidRPr="00B27164" w:rsidRDefault="0020502F" w:rsidP="00B27164">
      <w:pPr>
        <w:jc w:val="both"/>
        <w:rPr>
          <w:rFonts w:ascii="Arial" w:hAnsi="Arial" w:cs="Arial"/>
          <w:sz w:val="20"/>
          <w:szCs w:val="20"/>
        </w:rPr>
      </w:pPr>
    </w:p>
    <w:sectPr w:rsidR="0020502F" w:rsidRPr="00B27164" w:rsidSect="00205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C90B75"/>
    <w:rsid w:val="0020502F"/>
    <w:rsid w:val="00B27164"/>
    <w:rsid w:val="00C04EC5"/>
    <w:rsid w:val="00C90B75"/>
    <w:rsid w:val="00E400A9"/>
    <w:rsid w:val="00F2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2F"/>
  </w:style>
  <w:style w:type="paragraph" w:styleId="Heading5">
    <w:name w:val="heading 5"/>
    <w:basedOn w:val="Normal"/>
    <w:link w:val="Heading5Char"/>
    <w:uiPriority w:val="9"/>
    <w:qFormat/>
    <w:rsid w:val="00C90B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90B75"/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paragraph" w:styleId="NormalWeb">
    <w:name w:val="Normal (Web)"/>
    <w:basedOn w:val="Normal"/>
    <w:uiPriority w:val="99"/>
    <w:unhideWhenUsed/>
    <w:rsid w:val="00C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C90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145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ihmpusa</dc:creator>
  <cp:lastModifiedBy>manoj</cp:lastModifiedBy>
  <cp:revision>2</cp:revision>
  <dcterms:created xsi:type="dcterms:W3CDTF">2018-08-20T10:55:00Z</dcterms:created>
  <dcterms:modified xsi:type="dcterms:W3CDTF">2018-08-20T10:55:00Z</dcterms:modified>
</cp:coreProperties>
</file>